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  <w:br/>
        <w:t>预算执行分析报告模板</w:t>
      </w:r>
    </w:p>
    <w:p/>
    <w:p>
      <w:r>
        <w:rPr>
          <w:rFonts w:ascii="仿宋" w:hAnsi="仿宋" w:eastAsia="仿宋"/>
          <w:b/>
          <w:sz w:val="24"/>
        </w:rPr>
        <w:t>报告期间：2024年   第   季度/月份</w:t>
      </w:r>
    </w:p>
    <w:p>
      <w:r>
        <w:rPr>
          <w:rFonts w:ascii="仿宋" w:hAnsi="仿宋" w:eastAsia="仿宋"/>
          <w:b/>
          <w:sz w:val="24"/>
        </w:rPr>
        <w:t>编制部门：财务部</w:t>
      </w:r>
    </w:p>
    <w:p>
      <w:r>
        <w:rPr>
          <w:rFonts w:ascii="仿宋" w:hAnsi="仿宋" w:eastAsia="仿宋"/>
          <w:b/>
          <w:sz w:val="24"/>
        </w:rPr>
        <w:t>编制日期：    年   月   日</w:t>
      </w:r>
    </w:p>
    <w:p/>
    <w:p>
      <w:r>
        <w:rPr>
          <w:rFonts w:ascii="仿宋" w:hAnsi="仿宋" w:eastAsia="仿宋"/>
          <w:b/>
          <w:sz w:val="24"/>
        </w:rPr>
        <w:t>一、总体执行情况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本报告期公司实现营业收入        万元，完成预算的        %，同比增长        %。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本报告期公司费用支出        万元，占预算的        %，同比增长        %。</w:t>
      </w:r>
    </w:p>
    <w:p>
      <w:r>
        <w:rPr>
          <w:rFonts w:ascii="仿宋" w:hAnsi="仿宋" w:eastAsia="仿宋"/>
          <w:b/>
          <w:sz w:val="24"/>
        </w:rPr>
        <w:t>二、收入预算执行分析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（一）各产品/服务线收入完成情况：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产品/服务线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预算金额（万元）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实际完成（万元）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完成率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差异说明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软件产品销售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技术服务收入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咨询实施收入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运维服务收入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合计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pPr>
        <w:ind w:firstLine="420"/>
      </w:pPr>
      <w:r>
        <w:rPr>
          <w:rFonts w:ascii="仿宋" w:hAnsi="仿宋" w:eastAsia="仿宋"/>
          <w:b w:val="0"/>
          <w:sz w:val="24"/>
        </w:rPr>
        <w:t>（二）收入差异原因分析：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1. 重大差异原因说明：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2. 改进措施和建议：</w:t>
      </w:r>
    </w:p>
    <w:p>
      <w:r>
        <w:rPr>
          <w:rFonts w:ascii="仿宋" w:hAnsi="仿宋" w:eastAsia="仿宋"/>
          <w:b/>
          <w:sz w:val="24"/>
        </w:rPr>
        <w:t>三、费用预算执行分析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（一）各部门/费用类型执行情况：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费用类型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预算金额（万元）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实际支出（万元）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执行率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差异说明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人力成本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差旅费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办公费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业务招待费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培训费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合计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pPr>
        <w:ind w:firstLine="420"/>
      </w:pPr>
      <w:r>
        <w:rPr>
          <w:rFonts w:ascii="仿宋" w:hAnsi="仿宋" w:eastAsia="仿宋"/>
          <w:b w:val="0"/>
          <w:sz w:val="24"/>
        </w:rPr>
        <w:t>（二）费用差异原因分析：</w:t>
      </w:r>
    </w:p>
    <w:p>
      <w:r>
        <w:rPr>
          <w:rFonts w:ascii="仿宋" w:hAnsi="仿宋" w:eastAsia="仿宋"/>
          <w:b/>
          <w:sz w:val="24"/>
        </w:rPr>
        <w:t>四、资本预算执行情况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本报告期资本支出        万元，占预算的        %。</w:t>
      </w:r>
    </w:p>
    <w:p>
      <w:r>
        <w:rPr>
          <w:rFonts w:ascii="仿宋" w:hAnsi="仿宋" w:eastAsia="仿宋"/>
          <w:b/>
          <w:sz w:val="24"/>
        </w:rPr>
        <w:t>五、现金流预算执行情况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本报告期经营活动现金流量净额        万元，投资活动现金流量净额        万元，筹资活动现金流量净额        万元。</w:t>
      </w:r>
    </w:p>
    <w:p>
      <w:r>
        <w:rPr>
          <w:rFonts w:ascii="仿宋" w:hAnsi="仿宋" w:eastAsia="仿宋"/>
          <w:b/>
          <w:sz w:val="24"/>
        </w:rPr>
        <w:t>六、风险提示及建议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（一）主要风险：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（二）改进措施：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（三）预算调整建议：</w:t>
      </w:r>
    </w:p>
    <w:p>
      <w:r>
        <w:rPr>
          <w:rFonts w:ascii="仿宋" w:hAnsi="仿宋" w:eastAsia="仿宋"/>
          <w:b/>
          <w:sz w:val="24"/>
        </w:rPr>
        <w:t>七、下期工作重点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