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</w:t>
        <w:br/>
        <w:t>财务术语解释手册</w:t>
      </w:r>
    </w:p>
    <w:p/>
    <w:p>
      <w:r>
        <w:rPr>
          <w:rFonts w:ascii="仿宋" w:hAnsi="仿宋" w:eastAsia="仿宋"/>
          <w:b/>
          <w:sz w:val="24"/>
        </w:rPr>
        <w:t>权责发生制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以权利和责任的发生来决定收入和费用归属期的会计基础。即凡是当期已经实现的收入和已经发生或应当负担的费用，不论款项是否收付，都应当作为当期的收入和费用。</w:t>
      </w:r>
    </w:p>
    <w:p/>
    <w:p>
      <w:r>
        <w:rPr>
          <w:rFonts w:ascii="仿宋" w:hAnsi="仿宋" w:eastAsia="仿宋"/>
          <w:b/>
          <w:sz w:val="24"/>
        </w:rPr>
        <w:t>收付实现制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以现金收到或付出为标准来记录收入的实现和费用的发生。即凡是当期收到和支付的现金，都作为当期的收入和费用。</w:t>
      </w:r>
    </w:p>
    <w:p/>
    <w:p>
      <w:r>
        <w:rPr>
          <w:rFonts w:ascii="仿宋" w:hAnsi="仿宋" w:eastAsia="仿宋"/>
          <w:b/>
          <w:sz w:val="24"/>
        </w:rPr>
        <w:t>固定资产折旧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固定资产在使用过程中因磨损而逐渐转移的价值。公司采用年限平均法计提折旧。</w:t>
      </w:r>
    </w:p>
    <w:p/>
    <w:p>
      <w:r>
        <w:rPr>
          <w:rFonts w:ascii="仿宋" w:hAnsi="仿宋" w:eastAsia="仿宋"/>
          <w:b/>
          <w:sz w:val="24"/>
        </w:rPr>
        <w:t>摊销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将无形资产或长期待摊费用按照规定期限分期计入当期损益的过程。</w:t>
      </w:r>
    </w:p>
    <w:p/>
    <w:p>
      <w:r>
        <w:rPr>
          <w:rFonts w:ascii="仿宋" w:hAnsi="仿宋" w:eastAsia="仿宋"/>
          <w:b/>
          <w:sz w:val="24"/>
        </w:rPr>
        <w:t>增值税进项税额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企业购进货物、接受应税劳务或应税服务支付的增值税额，可以从销项税额中抵扣。</w:t>
      </w:r>
    </w:p>
    <w:p/>
    <w:p>
      <w:r>
        <w:rPr>
          <w:rFonts w:ascii="仿宋" w:hAnsi="仿宋" w:eastAsia="仿宋"/>
          <w:b/>
          <w:sz w:val="24"/>
        </w:rPr>
        <w:t>增值税销项税额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企业销售货物、提供应税劳务或应税服务收取的增值税额。</w:t>
      </w:r>
    </w:p>
    <w:p/>
    <w:p>
      <w:r>
        <w:rPr>
          <w:rFonts w:ascii="仿宋" w:hAnsi="仿宋" w:eastAsia="仿宋"/>
          <w:b/>
          <w:sz w:val="24"/>
        </w:rPr>
        <w:t>预算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企业对未来一定时期内经营活动的数量化计划，包括收入预算、支出预算、资本预算等。</w:t>
      </w:r>
    </w:p>
    <w:p/>
    <w:p>
      <w:r>
        <w:rPr>
          <w:rFonts w:ascii="仿宋" w:hAnsi="仿宋" w:eastAsia="仿宋"/>
          <w:b/>
          <w:sz w:val="24"/>
        </w:rPr>
        <w:t>现金流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企业在一定期间内现金和现金等价物流入和流出的数量。</w:t>
      </w:r>
    </w:p>
    <w:p/>
    <w:p>
      <w:r>
        <w:rPr>
          <w:rFonts w:ascii="仿宋" w:hAnsi="仿宋" w:eastAsia="仿宋"/>
          <w:b/>
          <w:sz w:val="24"/>
        </w:rPr>
        <w:t>毛利率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毛利润占营业收入的百分比，反映企业产品或服务的初始盈利能力。计算公式：毛利率 = （营业收入 - 营业成本）/ 营业收入 × 100%</w:t>
      </w:r>
    </w:p>
    <w:p/>
    <w:p>
      <w:r>
        <w:rPr>
          <w:rFonts w:ascii="仿宋" w:hAnsi="仿宋" w:eastAsia="仿宋"/>
          <w:b/>
          <w:sz w:val="24"/>
        </w:rPr>
        <w:t>净资产收益率（ROE）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净利润占股东权益的百分比，反映股东投入资金的获利能力。计算公式：ROE = 净利润 / 股东权益 × 100%</w:t>
      </w:r>
    </w:p>
    <w:p/>
    <w:p>
      <w:r>
        <w:rPr>
          <w:rFonts w:ascii="仿宋" w:hAnsi="仿宋" w:eastAsia="仿宋"/>
          <w:b/>
          <w:sz w:val="24"/>
        </w:rPr>
        <w:t>成本中心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企业内部只发生成本费用而不产生收入的组织单位，用于成本核算和控制。</w:t>
      </w:r>
    </w:p>
    <w:p/>
    <w:p>
      <w:r>
        <w:rPr>
          <w:rFonts w:ascii="仿宋" w:hAnsi="仿宋" w:eastAsia="仿宋"/>
          <w:b/>
          <w:sz w:val="24"/>
        </w:rPr>
        <w:t>利润中心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企业内部既发生成本费用又产生收入的组织单位，用于考核盈利能力。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