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远光软件股份有限公司税务管理制度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为规范远光软件股份有限公司（以下简称"公司"）的税务管理工作，防范税务风险，依法合规纳税，根据国家税收法律法规，结合公司实际情况，制定本制度。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税务管理基本原则：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（一）合法合规原则：严格遵守国家税收法律法规；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（二）事前筹划原则：在业务决策阶段即进行税务考量；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（三）风险防范原则：建立健全税务风险内控机制；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（四）效益优化原则：在合法合规前提下合理降低税负。</w:t>
      </w:r>
    </w:p>
    <w:p>
      <w:r>
        <w:rPr>
          <w:rFonts w:ascii="仿宋" w:hAnsi="仿宋" w:eastAsia="仿宋"/>
          <w:b/>
          <w:sz w:val="24"/>
        </w:rPr>
        <w:t>第二章  税务管理职责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财务部税务管理职责：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（一）负责公司日常纳税申报和税款缴纳；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（二）研究跟踪税收政策变化，开展税务筹划；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（三）办理税务登记、变更、注销等涉税事项；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（四）协助各业务部门处理涉税事项；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（五）配合税务机关的检查和审计。</w:t>
      </w:r>
    </w:p>
    <w:p>
      <w:r>
        <w:rPr>
          <w:rFonts w:ascii="仿宋" w:hAnsi="仿宋" w:eastAsia="仿宋"/>
          <w:b/>
          <w:sz w:val="24"/>
        </w:rPr>
        <w:t>第三章  纳税申报管理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公司应按税法规定的期限如实申报纳税，主要税种申报期限如下：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税种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申报周期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申报期限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缴纳期限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增值税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月度/季度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次月15日前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次月15日前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企业所得税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季度预缴/年度汇算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季度终了15日前/年度5月底前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同申报期限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个人所得税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月度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次月15日前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次月15日前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印花税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季度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季度终了15日前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季度终了15日前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城建税及附加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月度/季度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与增值税同步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与增值税同步</w:t>
            </w:r>
          </w:p>
        </w:tc>
      </w:tr>
    </w:tbl>
    <w:p>
      <w:r>
        <w:rPr>
          <w:rFonts w:ascii="仿宋" w:hAnsi="仿宋" w:eastAsia="仿宋"/>
          <w:b/>
          <w:sz w:val="24"/>
        </w:rPr>
        <w:t>第四章  税务风险管理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建立税务风险识别和评估机制，定期进行税务健康检查。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重大经营决策应进行税务影响分析，必要时聘请税务顾问参与。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发生税务争议时，应及时报告公司管理层，并聘请专业机构协助处理。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本制度由公司财务部负责解释和修订。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