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远光软件股份有限公司国际出差管理规定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为规范公司员工因公出国（境）出差行为，根据国家相关规定和公司差旅费管理办法，制定本规定。</w:t>
      </w:r>
    </w:p>
    <w:p>
      <w:r>
        <w:rPr>
          <w:rFonts w:ascii="仿宋" w:hAnsi="仿宋" w:eastAsia="仿宋"/>
          <w:b/>
          <w:sz w:val="24"/>
        </w:rPr>
        <w:t>第二章  出国（境）审批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出国（境）出差须提前15个工作日提交申请，经分管副总裁和总经理审批后方可执行。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因私护照和港澳通行证由人力资源部统一保管，出差前领取，返回后3日内归还。</w:t>
      </w:r>
    </w:p>
    <w:p>
      <w:r>
        <w:rPr>
          <w:rFonts w:ascii="仿宋" w:hAnsi="仿宋" w:eastAsia="仿宋"/>
          <w:b/>
          <w:sz w:val="24"/>
        </w:rPr>
        <w:t>第三章  国际差旅标准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国际航班标准：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（一）公司领导：商务舱；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（二）其他人员：经济舱，飞行时间超过6小时且经批准可乘坐商务舱。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境外住宿标准（元/晚）：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人员类别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亚洲城市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欧美城市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港澳地区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公司领导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1500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2000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1500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高层管理人员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1200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1500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1200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中层管理人员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1000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1200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1000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一般员工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1000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800</w:t>
            </w:r>
          </w:p>
        </w:tc>
      </w:tr>
    </w:tbl>
    <w:p/>
    <w:p>
      <w:pPr>
        <w:ind w:firstLine="420"/>
      </w:pPr>
      <w:r>
        <w:rPr>
          <w:rFonts w:ascii="仿宋" w:hAnsi="仿宋" w:eastAsia="仿宋"/>
          <w:b w:val="0"/>
          <w:sz w:val="24"/>
        </w:rPr>
        <w:t>第六条  境外伙食补贴（元/天）：亚洲地区300元，欧美地区400元，港澳地区200元。</w:t>
      </w:r>
    </w:p>
    <w:p>
      <w:r>
        <w:rPr>
          <w:rFonts w:ascii="仿宋" w:hAnsi="仿宋" w:eastAsia="仿宋"/>
          <w:b/>
          <w:sz w:val="24"/>
        </w:rPr>
        <w:t>第四章  外汇管理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出国（境）所需外汇，由财务部按国家外汇管理规定统一办理购汇手续。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出差返回后10个工作日内办理外汇核销手续。</w:t>
      </w:r>
    </w:p>
    <w:p>
      <w:r>
        <w:rPr>
          <w:rFonts w:ascii="仿宋" w:hAnsi="仿宋" w:eastAsia="仿宋"/>
          <w:b/>
          <w:sz w:val="24"/>
        </w:rPr>
        <w:t>第五章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第九条  本规定由公司财务部和国际业务部共同解释。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