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远光软件股份有限公司差旅费管理办法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为规范公司员工因公出差行为，合理控制差旅费用，根据国家相关规定和公司财务管理制度，制定本办法。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本办法适用于公司全体员工因公出差的交通、住宿、伙食补贴等费用管理。</w:t>
      </w:r>
    </w:p>
    <w:p>
      <w:r>
        <w:rPr>
          <w:rFonts w:ascii="仿宋" w:hAnsi="仿宋" w:eastAsia="仿宋"/>
          <w:b/>
          <w:sz w:val="24"/>
        </w:rPr>
        <w:t>第二章  出差审批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员工因公出差须提前通过OA系统提交出差申请，经批准后方可出差。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出差审批权限：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出差人员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国内出差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出国（境）出差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一般员工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部门负责人审批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分管副总审批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中层管理人员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分管副总审批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总经理审批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高层管理人员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总经理审批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董事长审批</w:t>
            </w:r>
          </w:p>
        </w:tc>
      </w:tr>
    </w:tbl>
    <w:p>
      <w:r>
        <w:rPr>
          <w:rFonts w:ascii="仿宋" w:hAnsi="仿宋" w:eastAsia="仿宋"/>
          <w:b/>
          <w:sz w:val="24"/>
        </w:rPr>
        <w:t>第三章  交通费标准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出差交通工具标准：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人员类别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飞机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火车/高铁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轮船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汽车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公司领导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头等舱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商务座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一等舱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实报实销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高层管理人员（P8及以上）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商务舱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一等座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一等舱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实报实销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中层管理人员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经济舱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一等座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二等舱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实报实销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一般员工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经济舱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二等座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三等舱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实报实销</w:t>
            </w:r>
          </w:p>
        </w:tc>
      </w:tr>
    </w:tbl>
    <w:p>
      <w:r>
        <w:rPr>
          <w:rFonts w:ascii="仿宋" w:hAnsi="仿宋" w:eastAsia="仿宋"/>
          <w:b/>
          <w:sz w:val="24"/>
        </w:rPr>
        <w:t>第四章  住宿费标准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住宿费按出差目的地城市类别执行不同标准：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人员类别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一类城市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二类城市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三类城市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港澳台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公司领导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800元/晚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700元/晚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600元/晚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1500元/晚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高层（P8及以上）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600元/晚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500元/晚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400元/晚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1200元/晚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中层管理人员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500元/晚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400元/晚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300元/晚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1000元/晚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一般员工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400元/晚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300元/晚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250元/晚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20"/>
              </w:rPr>
              <w:t>800元/晚</w:t>
            </w:r>
          </w:p>
        </w:tc>
      </w:tr>
    </w:tbl>
    <w:p/>
    <w:p>
      <w:r>
        <w:rPr>
          <w:rFonts w:ascii="仿宋" w:hAnsi="仿宋" w:eastAsia="仿宋"/>
          <w:b/>
          <w:sz w:val="24"/>
        </w:rPr>
        <w:t>城市分类说明：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一类城市：北京、上海、广州、深圳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二类城市：直辖市、省会城市、计划单列市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三类城市：其他地级市及以下地区</w:t>
      </w:r>
    </w:p>
    <w:p>
      <w:r>
        <w:rPr>
          <w:rFonts w:ascii="仿宋" w:hAnsi="仿宋" w:eastAsia="仿宋"/>
          <w:b/>
          <w:sz w:val="24"/>
        </w:rPr>
        <w:t>第五章  伙食补贴标准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出差伙食补贴标准（单位：元/天）：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城市类别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早中晚餐合计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一类城市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110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含港澳地区200元/天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二类城市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三类城市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境外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300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含亚洲地区；欧美地区400元/天</w:t>
            </w:r>
          </w:p>
        </w:tc>
      </w:tr>
    </w:tbl>
    <w:p>
      <w:r>
        <w:rPr>
          <w:rFonts w:ascii="仿宋" w:hAnsi="仿宋" w:eastAsia="仿宋"/>
          <w:b/>
          <w:sz w:val="24"/>
        </w:rPr>
        <w:t>第六章  报销管理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出差返回后5个工作日内完成报销手续。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住宿费凭有效发票据实报销，超出标准的部分由个人承担。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第十条  伙食补贴按出差天数和城市类别计算，无需提供发票。</w:t>
      </w:r>
    </w:p>
    <w:p>
      <w:r>
        <w:rPr>
          <w:rFonts w:ascii="仿宋" w:hAnsi="仿宋" w:eastAsia="仿宋"/>
          <w:b/>
          <w:sz w:val="24"/>
        </w:rPr>
        <w:t>第七章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第十一条  本办法由公司财务部负责解释。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