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44"/>
        </w:rPr>
        <w:t>远光软件股份有限公司</w:t>
        <w:br/>
        <w:t>财务制度培训手册</w:t>
      </w:r>
    </w:p>
    <w:p/>
    <w:p>
      <w:r>
        <w:rPr>
          <w:rFonts w:ascii="仿宋" w:hAnsi="仿宋" w:eastAsia="仿宋"/>
          <w:b/>
          <w:sz w:val="24"/>
        </w:rPr>
        <w:t>培训目标</w:t>
      </w:r>
    </w:p>
    <w:p>
      <w:pPr>
        <w:ind w:firstLine="420"/>
      </w:pPr>
      <w:r>
        <w:rPr>
          <w:rFonts w:ascii="仿宋" w:hAnsi="仿宋" w:eastAsia="仿宋"/>
          <w:b w:val="0"/>
          <w:sz w:val="24"/>
        </w:rPr>
        <w:t>本培训手册旨在帮助公司全体员工了解和掌握公司财务管理制度的要点，规范日常工作中的财务行为，提高财务管理意识和操作能力。</w:t>
      </w:r>
    </w:p>
    <w:p>
      <w:r>
        <w:rPr>
          <w:rFonts w:ascii="仿宋" w:hAnsi="仿宋" w:eastAsia="仿宋"/>
          <w:b/>
          <w:sz w:val="24"/>
        </w:rPr>
        <w:t>第一部分  公司财务制度概述</w:t>
      </w:r>
    </w:p>
    <w:p>
      <w:pPr>
        <w:ind w:firstLine="420"/>
      </w:pPr>
      <w:r>
        <w:rPr>
          <w:rFonts w:ascii="仿宋" w:hAnsi="仿宋" w:eastAsia="仿宋"/>
          <w:b w:val="0"/>
          <w:sz w:val="24"/>
        </w:rPr>
        <w:t>一、财务管理制度体系</w:t>
      </w:r>
    </w:p>
    <w:p>
      <w:pPr>
        <w:ind w:firstLine="420"/>
      </w:pPr>
      <w:r>
        <w:rPr>
          <w:rFonts w:ascii="仿宋" w:hAnsi="仿宋" w:eastAsia="仿宋"/>
          <w:b w:val="0"/>
          <w:sz w:val="24"/>
        </w:rPr>
        <w:t>公司财务管理制度体系由以下层次构成：</w:t>
      </w:r>
    </w:p>
    <w:p>
      <w:pPr>
        <w:ind w:firstLine="420"/>
      </w:pPr>
      <w:r>
        <w:rPr>
          <w:rFonts w:ascii="仿宋" w:hAnsi="仿宋" w:eastAsia="仿宋"/>
          <w:b w:val="0"/>
          <w:sz w:val="24"/>
        </w:rPr>
        <w:t>（一）财务管理制度总则：公司财务管理的基本制度和原则；</w:t>
      </w:r>
    </w:p>
    <w:p>
      <w:pPr>
        <w:ind w:firstLine="420"/>
      </w:pPr>
      <w:r>
        <w:rPr>
          <w:rFonts w:ascii="仿宋" w:hAnsi="仿宋" w:eastAsia="仿宋"/>
          <w:b w:val="0"/>
          <w:sz w:val="24"/>
        </w:rPr>
        <w:t>（二）专项管理制度：包括预算管理、资金管理、费用报销、资产管理等；</w:t>
      </w:r>
    </w:p>
    <w:p>
      <w:pPr>
        <w:ind w:firstLine="420"/>
      </w:pPr>
      <w:r>
        <w:rPr>
          <w:rFonts w:ascii="仿宋" w:hAnsi="仿宋" w:eastAsia="仿宋"/>
          <w:b w:val="0"/>
          <w:sz w:val="24"/>
        </w:rPr>
        <w:t>（三）操作规程：各项财务工作的具体操作流程和标准。</w:t>
      </w:r>
    </w:p>
    <w:p>
      <w:pPr>
        <w:ind w:firstLine="420"/>
      </w:pPr>
      <w:r>
        <w:rPr>
          <w:rFonts w:ascii="仿宋" w:hAnsi="仿宋" w:eastAsia="仿宋"/>
          <w:b w:val="0"/>
          <w:sz w:val="24"/>
        </w:rPr>
        <w:t>二、财务部门组织架构</w:t>
      </w:r>
    </w:p>
    <w:p>
      <w:pPr>
        <w:ind w:firstLine="420"/>
      </w:pPr>
      <w:r>
        <w:rPr>
          <w:rFonts w:ascii="仿宋" w:hAnsi="仿宋" w:eastAsia="仿宋"/>
          <w:b w:val="0"/>
          <w:sz w:val="24"/>
        </w:rPr>
        <w:t>公司财务部下设资金管理组、会计核算组、税务管理组、预算管理组和财务分析组。</w:t>
      </w:r>
    </w:p>
    <w:p>
      <w:r>
        <w:rPr>
          <w:rFonts w:ascii="仿宋" w:hAnsi="仿宋" w:eastAsia="仿宋"/>
          <w:b/>
          <w:sz w:val="24"/>
        </w:rPr>
        <w:t>第二部分  费用报销实务</w:t>
      </w:r>
    </w:p>
    <w:p>
      <w:pPr>
        <w:ind w:firstLine="420"/>
      </w:pPr>
      <w:r>
        <w:rPr>
          <w:rFonts w:ascii="仿宋" w:hAnsi="仿宋" w:eastAsia="仿宋"/>
          <w:b w:val="0"/>
          <w:sz w:val="24"/>
        </w:rPr>
        <w:t>一、报销流程</w:t>
      </w:r>
    </w:p>
    <w:p>
      <w:pPr>
        <w:ind w:firstLine="420"/>
      </w:pPr>
      <w:r>
        <w:rPr>
          <w:rFonts w:ascii="仿宋" w:hAnsi="仿宋" w:eastAsia="仿宋"/>
          <w:b w:val="0"/>
          <w:sz w:val="24"/>
        </w:rPr>
        <w:t>1. 填写报销单（通过公司OA系统在线填写）；</w:t>
      </w:r>
    </w:p>
    <w:p>
      <w:pPr>
        <w:ind w:firstLine="420"/>
      </w:pPr>
      <w:r>
        <w:rPr>
          <w:rFonts w:ascii="仿宋" w:hAnsi="仿宋" w:eastAsia="仿宋"/>
          <w:b w:val="0"/>
          <w:sz w:val="24"/>
        </w:rPr>
        <w:t>2. 附上原始发票及相关证明材料；</w:t>
      </w:r>
    </w:p>
    <w:p>
      <w:pPr>
        <w:ind w:firstLine="420"/>
      </w:pPr>
      <w:r>
        <w:rPr>
          <w:rFonts w:ascii="仿宋" w:hAnsi="仿宋" w:eastAsia="仿宋"/>
          <w:b w:val="0"/>
          <w:sz w:val="24"/>
        </w:rPr>
        <w:t>3. 提交部门负责人审批；</w:t>
      </w:r>
    </w:p>
    <w:p>
      <w:pPr>
        <w:ind w:firstLine="420"/>
      </w:pPr>
      <w:r>
        <w:rPr>
          <w:rFonts w:ascii="仿宋" w:hAnsi="仿宋" w:eastAsia="仿宋"/>
          <w:b w:val="0"/>
          <w:sz w:val="24"/>
        </w:rPr>
        <w:t>4. 财务部审核；</w:t>
      </w:r>
    </w:p>
    <w:p>
      <w:pPr>
        <w:ind w:firstLine="420"/>
      </w:pPr>
      <w:r>
        <w:rPr>
          <w:rFonts w:ascii="仿宋" w:hAnsi="仿宋" w:eastAsia="仿宋"/>
          <w:b w:val="0"/>
          <w:sz w:val="24"/>
        </w:rPr>
        <w:t>5. 按审批权限逐级审批；</w:t>
      </w:r>
    </w:p>
    <w:p>
      <w:pPr>
        <w:ind w:firstLine="420"/>
      </w:pPr>
      <w:r>
        <w:rPr>
          <w:rFonts w:ascii="仿宋" w:hAnsi="仿宋" w:eastAsia="仿宋"/>
          <w:b w:val="0"/>
          <w:sz w:val="24"/>
        </w:rPr>
        <w:t>6. 出纳付款。</w:t>
      </w:r>
    </w:p>
    <w:p>
      <w:pPr>
        <w:ind w:firstLine="420"/>
      </w:pPr>
      <w:r>
        <w:rPr>
          <w:rFonts w:ascii="仿宋" w:hAnsi="仿宋" w:eastAsia="仿宋"/>
          <w:b w:val="0"/>
          <w:sz w:val="24"/>
        </w:rPr>
        <w:t>二、常见报销问题及解决方法</w:t>
      </w:r>
    </w:p>
    <w:p>
      <w:pPr>
        <w:ind w:firstLine="420"/>
      </w:pPr>
      <w:r>
        <w:rPr>
          <w:rFonts w:ascii="仿宋" w:hAnsi="仿宋" w:eastAsia="仿宋"/>
          <w:b w:val="0"/>
          <w:sz w:val="24"/>
        </w:rPr>
        <w:t>1. 发票抬头错误：应退回开票方重新开具；</w:t>
      </w:r>
    </w:p>
    <w:p>
      <w:pPr>
        <w:ind w:firstLine="420"/>
      </w:pPr>
      <w:r>
        <w:rPr>
          <w:rFonts w:ascii="仿宋" w:hAnsi="仿宋" w:eastAsia="仿宋"/>
          <w:b w:val="0"/>
          <w:sz w:val="24"/>
        </w:rPr>
        <w:t>2. 发票金额与实际不一致：应重新取得正确发票；</w:t>
      </w:r>
    </w:p>
    <w:p>
      <w:pPr>
        <w:ind w:firstLine="420"/>
      </w:pPr>
      <w:r>
        <w:rPr>
          <w:rFonts w:ascii="仿宋" w:hAnsi="仿宋" w:eastAsia="仿宋"/>
          <w:b w:val="0"/>
          <w:sz w:val="24"/>
        </w:rPr>
        <w:t>3. 超标准报销：超出部分由个人承担；</w:t>
      </w:r>
    </w:p>
    <w:p>
      <w:pPr>
        <w:ind w:firstLine="420"/>
      </w:pPr>
      <w:r>
        <w:rPr>
          <w:rFonts w:ascii="仿宋" w:hAnsi="仿宋" w:eastAsia="仿宋"/>
          <w:b w:val="0"/>
          <w:sz w:val="24"/>
        </w:rPr>
        <w:t>4. 缺少附件：应补充完整后再提交报销。</w:t>
      </w:r>
    </w:p>
    <w:p>
      <w:r>
        <w:rPr>
          <w:rFonts w:ascii="仿宋" w:hAnsi="仿宋" w:eastAsia="仿宋"/>
          <w:b/>
          <w:sz w:val="24"/>
        </w:rPr>
        <w:t>第三部分  税务基础知识</w:t>
      </w:r>
    </w:p>
    <w:p>
      <w:pPr>
        <w:ind w:firstLine="420"/>
      </w:pPr>
      <w:r>
        <w:rPr>
          <w:rFonts w:ascii="仿宋" w:hAnsi="仿宋" w:eastAsia="仿宋"/>
          <w:b w:val="0"/>
          <w:sz w:val="24"/>
        </w:rPr>
        <w:t>一、个人所得税</w:t>
      </w:r>
    </w:p>
    <w:p>
      <w:pPr>
        <w:ind w:firstLine="420"/>
      </w:pPr>
      <w:r>
        <w:rPr>
          <w:rFonts w:ascii="仿宋" w:hAnsi="仿宋" w:eastAsia="仿宋"/>
          <w:b w:val="0"/>
          <w:sz w:val="24"/>
        </w:rPr>
        <w:t>公司员工应依法缴纳个人所得税。个人所得税按月由公司代扣代缴。</w:t>
      </w:r>
    </w:p>
    <w:p>
      <w:pPr>
        <w:ind w:firstLine="420"/>
      </w:pPr>
      <w:r>
        <w:rPr>
          <w:rFonts w:ascii="仿宋" w:hAnsi="仿宋" w:eastAsia="仿宋"/>
          <w:b w:val="0"/>
          <w:sz w:val="24"/>
        </w:rPr>
        <w:t>二、增值税</w:t>
      </w:r>
    </w:p>
    <w:p>
      <w:pPr>
        <w:ind w:firstLine="420"/>
      </w:pPr>
      <w:r>
        <w:rPr>
          <w:rFonts w:ascii="仿宋" w:hAnsi="仿宋" w:eastAsia="仿宋"/>
          <w:b w:val="0"/>
          <w:sz w:val="24"/>
        </w:rPr>
        <w:t>公司为增值税一般纳税人，适用6%（现代服务业）税率。员工因公支出应尽量取得增值税专用发票，以便公司进行进项税额抵扣。</w:t>
      </w:r>
    </w:p>
    <w:p>
      <w:r>
        <w:rPr>
          <w:rFonts w:ascii="仿宋" w:hAnsi="仿宋" w:eastAsia="仿宋"/>
          <w:b/>
          <w:sz w:val="24"/>
        </w:rPr>
        <w:t>第四部分  案例分析</w:t>
      </w:r>
    </w:p>
    <w:p>
      <w:pPr>
        <w:ind w:firstLine="420"/>
      </w:pPr>
      <w:r>
        <w:rPr>
          <w:rFonts w:ascii="仿宋" w:hAnsi="仿宋" w:eastAsia="仿宋"/>
          <w:b w:val="0"/>
          <w:sz w:val="24"/>
        </w:rPr>
        <w:t>案例一：差旅费报销</w:t>
      </w:r>
    </w:p>
    <w:p>
      <w:pPr>
        <w:ind w:firstLine="420"/>
      </w:pPr>
      <w:r>
        <w:rPr>
          <w:rFonts w:ascii="仿宋" w:hAnsi="仿宋" w:eastAsia="仿宋"/>
          <w:b w:val="0"/>
          <w:sz w:val="24"/>
        </w:rPr>
        <w:t>张三因公出差北京3天，实际发生费用：往返机票1800元，住宿费1200元（3晚×400元），市内交通费200元，出差补贴330元（3天×110元/天）。合计可报销3530元。</w:t>
      </w:r>
    </w:p>
    <w:p>
      <w:pPr>
        <w:ind w:firstLine="420"/>
      </w:pPr>
      <w:r>
        <w:rPr>
          <w:rFonts w:ascii="仿宋" w:hAnsi="仿宋" w:eastAsia="仿宋"/>
          <w:b w:val="0"/>
          <w:sz w:val="24"/>
        </w:rPr>
        <w:t>案例二：业务招待费报销</w:t>
      </w:r>
    </w:p>
    <w:p>
      <w:pPr>
        <w:ind w:firstLine="420"/>
      </w:pPr>
      <w:r>
        <w:rPr>
          <w:rFonts w:ascii="仿宋" w:hAnsi="仿宋" w:eastAsia="仿宋"/>
          <w:b w:val="0"/>
          <w:sz w:val="24"/>
        </w:rPr>
        <w:t>李四招待客户就餐，实际花费800元。需附上招待审批单、餐饮发票和人员清单。按公司标准，招待费需部门负责人审批后方可报销。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