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黑体" w:hAnsi="黑体" w:eastAsia="黑体"/>
          <w:b/>
          <w:sz w:val="44"/>
        </w:rPr>
        <w:t>远光软件股份有限公司</w:t>
      </w:r>
    </w:p>
    <w:p>
      <w:pPr>
        <w:jc w:val="center"/>
      </w:pPr>
      <w:r>
        <w:rPr>
          <w:rFonts w:ascii="黑体" w:hAnsi="黑体" w:eastAsia="黑体"/>
          <w:b/>
          <w:sz w:val="44"/>
        </w:rPr>
        <w:t>财务管理制度总则</w:t>
      </w:r>
    </w:p>
    <w:p/>
    <w:p>
      <w:r>
        <w:rPr>
          <w:rFonts w:ascii="仿宋" w:hAnsi="仿宋" w:eastAsia="仿宋"/>
          <w:b/>
          <w:sz w:val="24"/>
        </w:rPr>
        <w:t>第一章  总则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第一条  为规范远光软件股份有限公司（以下简称"公司"）的财务管理工作，建立健全财务内部控制体系，防范财务风险，根据《中华人民共和国会计法》《企业会计准则》《企业内部控制基本规范》等法律法规，结合公司实际情况，制定本制度。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第二条  本制度适用于公司总部、各分公司及全资子公司、控股子公司（以下统称"各单位"）的财务管理工作。</w:t>
      </w:r>
    </w:p>
    <w:p>
      <w:r>
        <w:rPr>
          <w:rFonts w:ascii="仿宋" w:hAnsi="仿宋" w:eastAsia="仿宋"/>
          <w:b/>
          <w:sz w:val="24"/>
        </w:rPr>
        <w:t>第三条  财务管理基本原则：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（一）合法性原则：严格遵守国家法律法规和相关监管要求；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（二）统一性原则：实行统一的财务管理制度和会计核算办法；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（三）效益性原则：以提升公司经营效益为目标，合理配置财务资源；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（四）安全性原则：建立完善的内部控制体系，保障公司资产安全完整；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（五）透明性原则：确保财务信息真实、准确、完整、及时。</w:t>
      </w:r>
    </w:p>
    <w:p>
      <w:r>
        <w:rPr>
          <w:rFonts w:ascii="仿宋" w:hAnsi="仿宋" w:eastAsia="仿宋"/>
          <w:b/>
          <w:sz w:val="24"/>
        </w:rPr>
        <w:t>第二章  财务组织体系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第四条  公司设立财务部，作为财务管理的职能部门，在财务总监的领导下开展各项工作。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第五条  各单位应设置专职财务岗位，财务负责人由公司财务部统一管理、委派或备案。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第六条  财务部门主要职责包括：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（一）建立健全公司财务管理制度和内部控制体系；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（二）组织编制和执行财务预算；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（三）负责公司日常会计核算和财务报告编制；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（四）组织实施资金管理和融资工作；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（五）负责公司税务筹划和纳税申报；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（六）参与公司重大经营决策的财务论证。</w:t>
      </w:r>
    </w:p>
    <w:p>
      <w:r>
        <w:rPr>
          <w:rFonts w:ascii="仿宋" w:hAnsi="仿宋" w:eastAsia="仿宋"/>
          <w:b/>
          <w:sz w:val="24"/>
        </w:rPr>
        <w:t>第三章  会计核算管理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第七条  公司执行国家统一的会计制度，采用借贷记账法，以人民币为记账本位币。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第八条  会计核算应做到内容真实、数字准确、资料可靠、手续完备。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第九条  各项经济业务应及时入账，不得提前或者延后，不得虚构或者隐瞒经济业务事项。</w:t>
      </w:r>
    </w:p>
    <w:p>
      <w:r>
        <w:rPr>
          <w:rFonts w:ascii="仿宋" w:hAnsi="仿宋" w:eastAsia="仿宋"/>
          <w:b/>
          <w:sz w:val="24"/>
        </w:rPr>
        <w:t>第四章  资金管理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第十条  公司实行资金集中管理，统一调度，各单位的银行账户由公司财务部统一审批开设和管理。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第十一条  资金支付实行分级审批制度，按照审批权限和审批流程办理。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第十二条  严禁任何单位和个人违规挪用、占用公司资金。</w:t>
      </w:r>
    </w:p>
    <w:p>
      <w:r>
        <w:rPr>
          <w:rFonts w:ascii="仿宋" w:hAnsi="仿宋" w:eastAsia="仿宋"/>
          <w:b/>
          <w:sz w:val="24"/>
        </w:rPr>
        <w:t>第五章  附则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第十三条  本制度由公司财务部负责解释和修订。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第十四条  本制度自发布之日起施行。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