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远光软件股份有限公司预算管理制度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为加强远光软件股份有限公司（以下简称"公司"）全面预算管理，合理配置公司资源，提高经营管理水平，根据公司财务管理制度，制定本制度。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预算管理基本原则：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（一）战略导向原则：预算编制应与公司发展战略和年度经营目标相一致；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（二）全面性原则：预算应覆盖所有经济活动，包括经营预算、资本预算和财务预算；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（三）合理性原则：预算编制应科学合理，兼顾需要与可能；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（四）刚性约束原则：经批准的预算应严格执行，不得随意调整。</w:t>
      </w:r>
    </w:p>
    <w:p>
      <w:r>
        <w:rPr>
          <w:rFonts w:ascii="仿宋" w:hAnsi="仿宋" w:eastAsia="仿宋"/>
          <w:b/>
          <w:sz w:val="24"/>
        </w:rPr>
        <w:t>第二章  预算编制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预算编制程序：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（一）每年10月，公司管理层下达下一年度预算编制指导意见；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（二）11月，各部门编制部门预算草案并提交财务部；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（三）12月上旬，财务部汇总编制公司预算草案；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（四）12月中旬，预算管理委员会审议预算草案；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（五）12月下旬，董事会批准年度预算。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预算编制内容：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（一）经营预算：包括收入预算、成本预算、费用预算等；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（二）资本预算：包括固定资产投资预算、研发投入预算等；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（三）财务预算：包括现金流量预算、预计利润表、预计资产负债表等。</w:t>
      </w:r>
    </w:p>
    <w:p>
      <w:r>
        <w:rPr>
          <w:rFonts w:ascii="仿宋" w:hAnsi="仿宋" w:eastAsia="仿宋"/>
          <w:b/>
          <w:sz w:val="24"/>
        </w:rPr>
        <w:t>第三章  预算执行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各部门应严格按照批准的预算执行，财务部对预算执行情况进行监督和控制。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预算内支出按正常审批流程办理，超预算支出须按规定程序申请追加或调整。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财务部每月编制预算执行情况报告，向管理层报告预算执行进度和差异分析。</w:t>
      </w:r>
    </w:p>
    <w:p>
      <w:r>
        <w:rPr>
          <w:rFonts w:ascii="仿宋" w:hAnsi="仿宋" w:eastAsia="仿宋"/>
          <w:b/>
          <w:sz w:val="24"/>
        </w:rPr>
        <w:t>第四章  预算调整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预算调整条件：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（一）国家政策发生重大变化；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（二）市场环境发生重大变化；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（三）公司经营战略发生重大调整；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（四）其他不可预见的重大事项。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预算调整审批权限与预算审批权限相同。</w:t>
      </w:r>
    </w:p>
    <w:p>
      <w:r>
        <w:rPr>
          <w:rFonts w:ascii="仿宋" w:hAnsi="仿宋" w:eastAsia="仿宋"/>
          <w:b/>
          <w:sz w:val="24"/>
        </w:rPr>
        <w:t>第五章  预算考核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第十条  预算执行情况纳入部门年度绩效考核，作为部门负责人考评的重要依据。</w:t>
      </w:r>
    </w:p>
    <w:p>
      <w:r>
        <w:rPr>
          <w:rFonts w:ascii="仿宋" w:hAnsi="仿宋" w:eastAsia="仿宋"/>
          <w:b/>
          <w:sz w:val="24"/>
        </w:rPr>
        <w:t>第六章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第十一条  本制度由公司财务部负责解释和修订。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