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黑体" w:hAnsi="黑体" w:eastAsia="黑体"/>
          <w:b/>
          <w:sz w:val="44"/>
        </w:rPr>
        <w:t>远光软件股份有限公司</w:t>
        <w:br/>
        <w:t>财务基础知识手册</w:t>
      </w:r>
    </w:p>
    <w:p/>
    <w:p>
      <w:r>
        <w:rPr>
          <w:rFonts w:ascii="仿宋" w:hAnsi="仿宋" w:eastAsia="仿宋"/>
          <w:b/>
          <w:sz w:val="24"/>
        </w:rPr>
        <w:t>第一部分  会计基础知识</w:t>
      </w:r>
    </w:p>
    <w:p>
      <w:pPr>
        <w:ind w:firstLine="420"/>
      </w:pPr>
      <w:r>
        <w:rPr>
          <w:rFonts w:ascii="仿宋" w:hAnsi="仿宋" w:eastAsia="仿宋"/>
          <w:b w:val="0"/>
          <w:sz w:val="24"/>
        </w:rPr>
        <w:t>一、会计要素</w:t>
      </w:r>
    </w:p>
    <w:p>
      <w:pPr>
        <w:ind w:firstLine="420"/>
      </w:pPr>
      <w:r>
        <w:rPr>
          <w:rFonts w:ascii="仿宋" w:hAnsi="仿宋" w:eastAsia="仿宋"/>
          <w:b w:val="0"/>
          <w:sz w:val="24"/>
        </w:rPr>
        <w:t>会计要素包括：资产、负债、所有者权益、收入、费用和利润。</w:t>
      </w:r>
    </w:p>
    <w:p>
      <w:pPr>
        <w:ind w:firstLine="420"/>
      </w:pPr>
      <w:r>
        <w:rPr>
          <w:rFonts w:ascii="仿宋" w:hAnsi="仿宋" w:eastAsia="仿宋"/>
          <w:b w:val="0"/>
          <w:sz w:val="24"/>
        </w:rPr>
        <w:t>会计恒等式：资产 = 负债 + 所有者权益</w:t>
      </w:r>
    </w:p>
    <w:p>
      <w:pPr>
        <w:ind w:firstLine="420"/>
      </w:pPr>
      <w:r>
        <w:rPr>
          <w:rFonts w:ascii="仿宋" w:hAnsi="仿宋" w:eastAsia="仿宋"/>
          <w:b w:val="0"/>
          <w:sz w:val="24"/>
        </w:rPr>
        <w:t>二、常用会计科目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pPr>
              <w:jc w:val="center"/>
            </w:pPr>
            <w:r>
              <w:rPr>
                <w:b/>
                <w:sz w:val="20"/>
              </w:rPr>
              <w:t>科目类别</w:t>
            </w:r>
          </w:p>
        </w:tc>
        <w:tc>
          <w:tcPr>
            <w:tcW w:type="dxa" w:w="2880"/>
          </w:tcPr>
          <w:p>
            <w:pPr>
              <w:jc w:val="center"/>
            </w:pPr>
            <w:r>
              <w:rPr>
                <w:b/>
                <w:sz w:val="20"/>
              </w:rPr>
              <w:t>科目名称</w:t>
            </w:r>
          </w:p>
        </w:tc>
        <w:tc>
          <w:tcPr>
            <w:tcW w:type="dxa" w:w="2880"/>
          </w:tcPr>
          <w:p>
            <w:pPr>
              <w:jc w:val="center"/>
            </w:pPr>
            <w:r>
              <w:rPr>
                <w:b/>
                <w:sz w:val="20"/>
              </w:rPr>
              <w:t>说明</w:t>
            </w:r>
          </w:p>
        </w:tc>
      </w:tr>
      <w:tr>
        <w:tc>
          <w:tcPr>
            <w:tcW w:type="dxa" w:w="2880"/>
          </w:tcPr>
          <w:p>
            <w:pPr>
              <w:jc w:val="center"/>
            </w:pPr>
            <w:r>
              <w:rPr>
                <w:sz w:val="20"/>
              </w:rPr>
              <w:t>资产类</w:t>
            </w:r>
          </w:p>
        </w:tc>
        <w:tc>
          <w:tcPr>
            <w:tcW w:type="dxa" w:w="2880"/>
          </w:tcPr>
          <w:p>
            <w:pPr>
              <w:jc w:val="center"/>
            </w:pPr>
            <w:r>
              <w:rPr>
                <w:sz w:val="20"/>
              </w:rPr>
              <w:t>库存现金</w:t>
            </w:r>
          </w:p>
        </w:tc>
        <w:tc>
          <w:tcPr>
            <w:tcW w:type="dxa" w:w="2880"/>
          </w:tcPr>
          <w:p>
            <w:pPr>
              <w:jc w:val="center"/>
            </w:pPr>
            <w:r>
              <w:rPr>
                <w:sz w:val="20"/>
              </w:rPr>
              <w:t>公司持有的现金</w:t>
            </w:r>
          </w:p>
        </w:tc>
      </w:tr>
      <w:tr>
        <w:tc>
          <w:tcPr>
            <w:tcW w:type="dxa" w:w="2880"/>
          </w:tcPr>
          <w:p>
            <w:pPr>
              <w:jc w:val="center"/>
            </w:pPr>
            <w:r>
              <w:rPr>
                <w:sz w:val="20"/>
              </w:rPr>
              <w:t>资产类</w:t>
            </w:r>
          </w:p>
        </w:tc>
        <w:tc>
          <w:tcPr>
            <w:tcW w:type="dxa" w:w="2880"/>
          </w:tcPr>
          <w:p>
            <w:pPr>
              <w:jc w:val="center"/>
            </w:pPr>
            <w:r>
              <w:rPr>
                <w:sz w:val="20"/>
              </w:rPr>
              <w:t>银行存款</w:t>
            </w:r>
          </w:p>
        </w:tc>
        <w:tc>
          <w:tcPr>
            <w:tcW w:type="dxa" w:w="2880"/>
          </w:tcPr>
          <w:p>
            <w:pPr>
              <w:jc w:val="center"/>
            </w:pPr>
            <w:r>
              <w:rPr>
                <w:sz w:val="20"/>
              </w:rPr>
              <w:t>存放在银行的资金</w:t>
            </w:r>
          </w:p>
        </w:tc>
      </w:tr>
      <w:tr>
        <w:tc>
          <w:tcPr>
            <w:tcW w:type="dxa" w:w="2880"/>
          </w:tcPr>
          <w:p>
            <w:pPr>
              <w:jc w:val="center"/>
            </w:pPr>
            <w:r>
              <w:rPr>
                <w:sz w:val="20"/>
              </w:rPr>
              <w:t>资产类</w:t>
            </w:r>
          </w:p>
        </w:tc>
        <w:tc>
          <w:tcPr>
            <w:tcW w:type="dxa" w:w="2880"/>
          </w:tcPr>
          <w:p>
            <w:pPr>
              <w:jc w:val="center"/>
            </w:pPr>
            <w:r>
              <w:rPr>
                <w:sz w:val="20"/>
              </w:rPr>
              <w:t>应收账款</w:t>
            </w:r>
          </w:p>
        </w:tc>
        <w:tc>
          <w:tcPr>
            <w:tcW w:type="dxa" w:w="2880"/>
          </w:tcPr>
          <w:p>
            <w:pPr>
              <w:jc w:val="center"/>
            </w:pPr>
            <w:r>
              <w:rPr>
                <w:sz w:val="20"/>
              </w:rPr>
              <w:t>因销售商品或提供劳务应收的款项</w:t>
            </w:r>
          </w:p>
        </w:tc>
      </w:tr>
      <w:tr>
        <w:tc>
          <w:tcPr>
            <w:tcW w:type="dxa" w:w="2880"/>
          </w:tcPr>
          <w:p>
            <w:pPr>
              <w:jc w:val="center"/>
            </w:pPr>
            <w:r>
              <w:rPr>
                <w:sz w:val="20"/>
              </w:rPr>
              <w:t>资产类</w:t>
            </w:r>
          </w:p>
        </w:tc>
        <w:tc>
          <w:tcPr>
            <w:tcW w:type="dxa" w:w="2880"/>
          </w:tcPr>
          <w:p>
            <w:pPr>
              <w:jc w:val="center"/>
            </w:pPr>
            <w:r>
              <w:rPr>
                <w:sz w:val="20"/>
              </w:rPr>
              <w:t>固定资产</w:t>
            </w:r>
          </w:p>
        </w:tc>
        <w:tc>
          <w:tcPr>
            <w:tcW w:type="dxa" w:w="2880"/>
          </w:tcPr>
          <w:p>
            <w:pPr>
              <w:jc w:val="center"/>
            </w:pPr>
            <w:r>
              <w:rPr>
                <w:sz w:val="20"/>
              </w:rPr>
              <w:t>使用年限超过一年的有形资产</w:t>
            </w:r>
          </w:p>
        </w:tc>
      </w:tr>
      <w:tr>
        <w:tc>
          <w:tcPr>
            <w:tcW w:type="dxa" w:w="2880"/>
          </w:tcPr>
          <w:p>
            <w:pPr>
              <w:jc w:val="center"/>
            </w:pPr>
            <w:r>
              <w:rPr>
                <w:sz w:val="20"/>
              </w:rPr>
              <w:t>负债类</w:t>
            </w:r>
          </w:p>
        </w:tc>
        <w:tc>
          <w:tcPr>
            <w:tcW w:type="dxa" w:w="2880"/>
          </w:tcPr>
          <w:p>
            <w:pPr>
              <w:jc w:val="center"/>
            </w:pPr>
            <w:r>
              <w:rPr>
                <w:sz w:val="20"/>
              </w:rPr>
              <w:t>应付账款</w:t>
            </w:r>
          </w:p>
        </w:tc>
        <w:tc>
          <w:tcPr>
            <w:tcW w:type="dxa" w:w="2880"/>
          </w:tcPr>
          <w:p>
            <w:pPr>
              <w:jc w:val="center"/>
            </w:pPr>
            <w:r>
              <w:rPr>
                <w:sz w:val="20"/>
              </w:rPr>
              <w:t>因购买商品或接受劳务应付的款项</w:t>
            </w:r>
          </w:p>
        </w:tc>
      </w:tr>
      <w:tr>
        <w:tc>
          <w:tcPr>
            <w:tcW w:type="dxa" w:w="2880"/>
          </w:tcPr>
          <w:p>
            <w:pPr>
              <w:jc w:val="center"/>
            </w:pPr>
            <w:r>
              <w:rPr>
                <w:sz w:val="20"/>
              </w:rPr>
              <w:t>负债类</w:t>
            </w:r>
          </w:p>
        </w:tc>
        <w:tc>
          <w:tcPr>
            <w:tcW w:type="dxa" w:w="2880"/>
          </w:tcPr>
          <w:p>
            <w:pPr>
              <w:jc w:val="center"/>
            </w:pPr>
            <w:r>
              <w:rPr>
                <w:sz w:val="20"/>
              </w:rPr>
              <w:t>应交税费</w:t>
            </w:r>
          </w:p>
        </w:tc>
        <w:tc>
          <w:tcPr>
            <w:tcW w:type="dxa" w:w="2880"/>
          </w:tcPr>
          <w:p>
            <w:pPr>
              <w:jc w:val="center"/>
            </w:pPr>
            <w:r>
              <w:rPr>
                <w:sz w:val="20"/>
              </w:rPr>
              <w:t>应缴纳的各种税费</w:t>
            </w:r>
          </w:p>
        </w:tc>
      </w:tr>
      <w:tr>
        <w:tc>
          <w:tcPr>
            <w:tcW w:type="dxa" w:w="2880"/>
          </w:tcPr>
          <w:p>
            <w:pPr>
              <w:jc w:val="center"/>
            </w:pPr>
            <w:r>
              <w:rPr>
                <w:sz w:val="20"/>
              </w:rPr>
              <w:t>负债类</w:t>
            </w:r>
          </w:p>
        </w:tc>
        <w:tc>
          <w:tcPr>
            <w:tcW w:type="dxa" w:w="2880"/>
          </w:tcPr>
          <w:p>
            <w:pPr>
              <w:jc w:val="center"/>
            </w:pPr>
            <w:r>
              <w:rPr>
                <w:sz w:val="20"/>
              </w:rPr>
              <w:t>应付职工薪酬</w:t>
            </w:r>
          </w:p>
        </w:tc>
        <w:tc>
          <w:tcPr>
            <w:tcW w:type="dxa" w:w="2880"/>
          </w:tcPr>
          <w:p>
            <w:pPr>
              <w:jc w:val="center"/>
            </w:pPr>
            <w:r>
              <w:rPr>
                <w:sz w:val="20"/>
              </w:rPr>
              <w:t>应付给职工的工资、福利等</w:t>
            </w:r>
          </w:p>
        </w:tc>
      </w:tr>
      <w:tr>
        <w:tc>
          <w:tcPr>
            <w:tcW w:type="dxa" w:w="2880"/>
          </w:tcPr>
          <w:p>
            <w:pPr>
              <w:jc w:val="center"/>
            </w:pPr>
            <w:r>
              <w:rPr>
                <w:sz w:val="20"/>
              </w:rPr>
              <w:t>损益类</w:t>
            </w:r>
          </w:p>
        </w:tc>
        <w:tc>
          <w:tcPr>
            <w:tcW w:type="dxa" w:w="2880"/>
          </w:tcPr>
          <w:p>
            <w:pPr>
              <w:jc w:val="center"/>
            </w:pPr>
            <w:r>
              <w:rPr>
                <w:sz w:val="20"/>
              </w:rPr>
              <w:t>主营业务收入</w:t>
            </w:r>
          </w:p>
        </w:tc>
        <w:tc>
          <w:tcPr>
            <w:tcW w:type="dxa" w:w="2880"/>
          </w:tcPr>
          <w:p>
            <w:pPr>
              <w:jc w:val="center"/>
            </w:pPr>
            <w:r>
              <w:rPr>
                <w:sz w:val="20"/>
              </w:rPr>
              <w:t>主要经营业务产生的收入</w:t>
            </w:r>
          </w:p>
        </w:tc>
      </w:tr>
      <w:tr>
        <w:tc>
          <w:tcPr>
            <w:tcW w:type="dxa" w:w="2880"/>
          </w:tcPr>
          <w:p>
            <w:pPr>
              <w:jc w:val="center"/>
            </w:pPr>
            <w:r>
              <w:rPr>
                <w:sz w:val="20"/>
              </w:rPr>
              <w:t>损益类</w:t>
            </w:r>
          </w:p>
        </w:tc>
        <w:tc>
          <w:tcPr>
            <w:tcW w:type="dxa" w:w="2880"/>
          </w:tcPr>
          <w:p>
            <w:pPr>
              <w:jc w:val="center"/>
            </w:pPr>
            <w:r>
              <w:rPr>
                <w:sz w:val="20"/>
              </w:rPr>
              <w:t>管理费用</w:t>
            </w:r>
          </w:p>
        </w:tc>
        <w:tc>
          <w:tcPr>
            <w:tcW w:type="dxa" w:w="2880"/>
          </w:tcPr>
          <w:p>
            <w:pPr>
              <w:jc w:val="center"/>
            </w:pPr>
            <w:r>
              <w:rPr>
                <w:sz w:val="20"/>
              </w:rPr>
              <w:t>为管理生产经营发生的费用</w:t>
            </w:r>
          </w:p>
        </w:tc>
      </w:tr>
      <w:tr>
        <w:tc>
          <w:tcPr>
            <w:tcW w:type="dxa" w:w="2880"/>
          </w:tcPr>
          <w:p>
            <w:pPr>
              <w:jc w:val="center"/>
            </w:pPr>
            <w:r>
              <w:rPr>
                <w:sz w:val="20"/>
              </w:rPr>
              <w:t>损益类</w:t>
            </w:r>
          </w:p>
        </w:tc>
        <w:tc>
          <w:tcPr>
            <w:tcW w:type="dxa" w:w="2880"/>
          </w:tcPr>
          <w:p>
            <w:pPr>
              <w:jc w:val="center"/>
            </w:pPr>
            <w:r>
              <w:rPr>
                <w:sz w:val="20"/>
              </w:rPr>
              <w:t>销售费用</w:t>
            </w:r>
          </w:p>
        </w:tc>
        <w:tc>
          <w:tcPr>
            <w:tcW w:type="dxa" w:w="2880"/>
          </w:tcPr>
          <w:p>
            <w:pPr>
              <w:jc w:val="center"/>
            </w:pPr>
            <w:r>
              <w:rPr>
                <w:sz w:val="20"/>
              </w:rPr>
              <w:t>为销售产品发生的费用</w:t>
            </w:r>
          </w:p>
        </w:tc>
      </w:tr>
    </w:tbl>
    <w:p>
      <w:r>
        <w:rPr>
          <w:rFonts w:ascii="仿宋" w:hAnsi="仿宋" w:eastAsia="仿宋"/>
          <w:b/>
          <w:sz w:val="24"/>
        </w:rPr>
        <w:t>第二部分  税务基础知识</w:t>
      </w:r>
    </w:p>
    <w:p>
      <w:pPr>
        <w:ind w:firstLine="420"/>
      </w:pPr>
      <w:r>
        <w:rPr>
          <w:rFonts w:ascii="仿宋" w:hAnsi="仿宋" w:eastAsia="仿宋"/>
          <w:b w:val="0"/>
          <w:sz w:val="24"/>
        </w:rPr>
        <w:t>三、主要税种介绍</w:t>
      </w:r>
    </w:p>
    <w:p>
      <w:pPr>
        <w:ind w:firstLine="420"/>
      </w:pPr>
      <w:r>
        <w:rPr>
          <w:rFonts w:ascii="仿宋" w:hAnsi="仿宋" w:eastAsia="仿宋"/>
          <w:b w:val="0"/>
          <w:sz w:val="24"/>
        </w:rPr>
        <w:t>（一）增值税：公司为一般纳税人，软件服务适用6%税率，软件产品销售适用13%税率。</w:t>
      </w:r>
    </w:p>
    <w:p>
      <w:pPr>
        <w:ind w:firstLine="420"/>
      </w:pPr>
      <w:r>
        <w:rPr>
          <w:rFonts w:ascii="仿宋" w:hAnsi="仿宋" w:eastAsia="仿宋"/>
          <w:b w:val="0"/>
          <w:sz w:val="24"/>
        </w:rPr>
        <w:t>（二）企业所得税：税率为25%，高新技术企业享受15%优惠税率。</w:t>
      </w:r>
    </w:p>
    <w:p>
      <w:pPr>
        <w:ind w:firstLine="420"/>
      </w:pPr>
      <w:r>
        <w:rPr>
          <w:rFonts w:ascii="仿宋" w:hAnsi="仿宋" w:eastAsia="仿宋"/>
          <w:b w:val="0"/>
          <w:sz w:val="24"/>
        </w:rPr>
        <w:t>（三）个人所得税：按累进税率3%-45%，由公司代扣代缴。</w:t>
      </w:r>
    </w:p>
    <w:p>
      <w:pPr>
        <w:ind w:firstLine="420"/>
      </w:pPr>
      <w:r>
        <w:rPr>
          <w:rFonts w:ascii="仿宋" w:hAnsi="仿宋" w:eastAsia="仿宋"/>
          <w:b w:val="0"/>
          <w:sz w:val="24"/>
        </w:rPr>
        <w:t>（四）印花税：对经济活动中的应税凭证征收。</w:t>
      </w:r>
    </w:p>
    <w:p>
      <w:r>
        <w:rPr>
          <w:rFonts w:ascii="仿宋" w:hAnsi="仿宋" w:eastAsia="仿宋"/>
          <w:b/>
          <w:sz w:val="24"/>
        </w:rPr>
        <w:t>第三部分  财务报表解读</w:t>
      </w:r>
    </w:p>
    <w:p>
      <w:pPr>
        <w:ind w:firstLine="420"/>
      </w:pPr>
      <w:r>
        <w:rPr>
          <w:rFonts w:ascii="仿宋" w:hAnsi="仿宋" w:eastAsia="仿宋"/>
          <w:b w:val="0"/>
          <w:sz w:val="24"/>
        </w:rPr>
        <w:t>四、三大财务报表</w:t>
      </w:r>
    </w:p>
    <w:p>
      <w:pPr>
        <w:ind w:firstLine="420"/>
      </w:pPr>
      <w:r>
        <w:rPr>
          <w:rFonts w:ascii="仿宋" w:hAnsi="仿宋" w:eastAsia="仿宋"/>
          <w:b w:val="0"/>
          <w:sz w:val="24"/>
        </w:rPr>
        <w:t>（一）资产负债表：反映企业在某一特定日期的财务状况。</w:t>
      </w:r>
    </w:p>
    <w:p>
      <w:pPr>
        <w:ind w:firstLine="420"/>
      </w:pPr>
      <w:r>
        <w:rPr>
          <w:rFonts w:ascii="仿宋" w:hAnsi="仿宋" w:eastAsia="仿宋"/>
          <w:b w:val="0"/>
          <w:sz w:val="24"/>
        </w:rPr>
        <w:t>（二）利润表：反映企业在一定期间的经营成果。</w:t>
      </w:r>
    </w:p>
    <w:p>
      <w:pPr>
        <w:ind w:firstLine="420"/>
      </w:pPr>
      <w:r>
        <w:rPr>
          <w:rFonts w:ascii="仿宋" w:hAnsi="仿宋" w:eastAsia="仿宋"/>
          <w:b w:val="0"/>
          <w:sz w:val="24"/>
        </w:rPr>
        <w:t>（三）现金流量表：反映企业在一定期间现金和现金等价物的流入和流出。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