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44"/>
        </w:rPr>
        <w:t>远光软件股份有限公司税务管理制度</w:t>
      </w:r>
    </w:p>
    <w:p/>
    <w:p>
      <w:r>
        <w:rPr>
          <w:rFonts w:ascii="仿宋" w:hAnsi="仿宋" w:eastAsia="仿宋"/>
          <w:b/>
          <w:sz w:val="24"/>
        </w:rPr>
        <w:t>第一章  总则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第一条  为规范远光软件股份有限公司（以下简称"公司"）的税务管理工作，防范税务风险，依法合规纳税，根据国家税收法律法规，结合公司实际情况，制定本制度。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第二条  税务管理基本原则：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（一）合法合规原则：严格遵守国家税收法律法规；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（二）事前筹划原则：在业务决策阶段即进行税务考量；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（三）风险防范原则：建立健全税务风险内控机制；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（四）效益优化原则：在合法合规前提下合理降低税负。</w:t>
      </w:r>
    </w:p>
    <w:p>
      <w:r>
        <w:rPr>
          <w:rFonts w:ascii="仿宋" w:hAnsi="仿宋" w:eastAsia="仿宋"/>
          <w:b/>
          <w:sz w:val="24"/>
        </w:rPr>
        <w:t>第二章  税务管理职责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第三条  财务部税务管理职责：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（一）负责公司日常纳税申报和税款缴纳；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（二）研究跟踪税收政策变化，开展税务筹划；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（三）办理税务登记、变更、注销等涉税事项；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（四）协助各业务部门处理涉税事项；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（五）配合税务机关的检查和审计。</w:t>
      </w:r>
    </w:p>
    <w:p>
      <w:r>
        <w:rPr>
          <w:rFonts w:ascii="仿宋" w:hAnsi="仿宋" w:eastAsia="仿宋"/>
          <w:b/>
          <w:sz w:val="24"/>
        </w:rPr>
        <w:t>第三章  纳税申报管理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第四条  公司应按税法规定的期限如实申报纳税，主要税种申报期限如下：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税种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申报周期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申报期限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  <w:sz w:val="20"/>
              </w:rPr>
              <w:t>缴纳期限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增值税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月度/季度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次月15日前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次月15日前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企业所得税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季度预缴/年度汇算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季度终了15日前/年度5月底前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同申报期限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个人所得税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月度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次月15日前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次月15日前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印花税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季度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季度终了15日前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季度终了15日前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城建税及附加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月度/季度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与增值税同步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sz w:val="20"/>
              </w:rPr>
              <w:t>与增值税同步</w:t>
            </w:r>
          </w:p>
        </w:tc>
      </w:tr>
    </w:tbl>
    <w:p>
      <w:r>
        <w:rPr>
          <w:rFonts w:ascii="仿宋" w:hAnsi="仿宋" w:eastAsia="仿宋"/>
          <w:b/>
          <w:sz w:val="24"/>
        </w:rPr>
        <w:t>第四章  税务风险管理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第五条  建立税务风险识别和评估机制，定期进行税务健康检查。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第六条  重大经营决策应进行税务影响分析，必要时聘请税务顾问参与。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第七条  发生税务争议时，应及时报告公司管理层，并聘请专业机构协助处理。</w:t>
      </w:r>
    </w:p>
    <w:p>
      <w:r>
        <w:rPr>
          <w:rFonts w:ascii="仿宋" w:hAnsi="仿宋" w:eastAsia="仿宋"/>
          <w:b/>
          <w:sz w:val="24"/>
        </w:rPr>
        <w:t>第五章  附则</w:t>
      </w:r>
    </w:p>
    <w:p>
      <w:pPr>
        <w:ind w:firstLine="420"/>
      </w:pPr>
      <w:r>
        <w:rPr>
          <w:rFonts w:ascii="仿宋" w:hAnsi="仿宋" w:eastAsia="仿宋"/>
          <w:b w:val="0"/>
          <w:sz w:val="24"/>
        </w:rPr>
        <w:t>第八条  本制度由公司财务部负责解释和修订。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